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R4-2007189</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Pending issues on RRC mobility control for IAB-MT</w:t>
      </w:r>
      <w:bookmarkStart w:id="4" w:name="_GoBack"/>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6.5.3.2</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overflowPunct w:val="0"/>
        <w:autoSpaceDE w:val="0"/>
        <w:autoSpaceDN w:val="0"/>
        <w:adjustRightInd w:val="0"/>
        <w:spacing w:after="0" w:line="240" w:lineRule="auto"/>
        <w:jc w:val="both"/>
        <w:rPr>
          <w:rFonts w:hint="default" w:eastAsia="宋体" w:cs="Times New Roman"/>
          <w:sz w:val="22"/>
          <w:szCs w:val="22"/>
          <w:lang w:val="en-US" w:eastAsia="zh-CN"/>
        </w:rPr>
      </w:pPr>
      <w:r>
        <w:rPr>
          <w:rFonts w:hint="eastAsia" w:eastAsia="宋体" w:cs="Times New Roman"/>
          <w:sz w:val="22"/>
          <w:szCs w:val="22"/>
          <w:lang w:eastAsia="zh-CN"/>
        </w:rPr>
        <w:t>In RAN</w:t>
      </w:r>
      <w:r>
        <w:rPr>
          <w:rFonts w:hint="eastAsia" w:eastAsia="宋体" w:cs="Times New Roman"/>
          <w:sz w:val="22"/>
          <w:szCs w:val="22"/>
          <w:lang w:val="en-US" w:eastAsia="zh-CN"/>
        </w:rPr>
        <w:t>4</w:t>
      </w:r>
      <w:r>
        <w:rPr>
          <w:rFonts w:hint="eastAsia" w:eastAsia="宋体" w:cs="Times New Roman"/>
          <w:sz w:val="22"/>
          <w:szCs w:val="22"/>
          <w:lang w:eastAsia="zh-CN"/>
        </w:rPr>
        <w:t xml:space="preserve"> </w:t>
      </w:r>
      <w:r>
        <w:rPr>
          <w:rFonts w:hint="eastAsia" w:eastAsia="宋体" w:cs="Times New Roman"/>
          <w:sz w:val="22"/>
          <w:szCs w:val="22"/>
          <w:lang w:val="en-US" w:eastAsia="zh-CN"/>
        </w:rPr>
        <w:t>94-e-bis, the WF [1] captures the agreements shown below:</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3"/>
              <w:widowControl/>
              <w:suppressLineNumbers w:val="0"/>
              <w:spacing w:beforeAutospacing="0" w:afterAutospacing="0"/>
              <w:ind w:left="0" w:right="0"/>
              <w:rPr>
                <w:rFonts w:hint="default"/>
              </w:rPr>
            </w:pPr>
            <w:r>
              <w:rPr>
                <w:rFonts w:hint="default"/>
              </w:rPr>
              <w:t>Number of SMTC windows for RRC re-establishment and release with redirection</w:t>
            </w:r>
          </w:p>
          <w:p>
            <w:pPr>
              <w:keepNext w:val="0"/>
              <w:keepLines w:val="0"/>
              <w:widowControl/>
              <w:suppressLineNumbers w:val="0"/>
              <w:spacing w:before="0" w:beforeAutospacing="0" w:afterAutospacing="0"/>
              <w:ind w:left="0" w:right="0"/>
              <w:rPr>
                <w:rFonts w:hint="default"/>
                <w:sz w:val="20"/>
                <w:lang w:val="sv-SE" w:eastAsia="zh-CN"/>
              </w:rPr>
            </w:pPr>
          </w:p>
          <w:p>
            <w:pPr>
              <w:pStyle w:val="4"/>
              <w:widowControl/>
              <w:suppressLineNumbers w:val="0"/>
              <w:spacing w:beforeAutospacing="0" w:afterAutospacing="0"/>
              <w:ind w:left="0" w:right="0"/>
              <w:rPr>
                <w:rFonts w:hint="default"/>
                <w:highlight w:val="yellow"/>
              </w:rPr>
            </w:pPr>
            <w:r>
              <w:rPr>
                <w:rFonts w:hint="default"/>
                <w:highlight w:val="yellow"/>
              </w:rPr>
              <w:t>Tentative agreement</w:t>
            </w:r>
          </w:p>
          <w:p>
            <w:pPr>
              <w:keepNext w:val="0"/>
              <w:keepLines w:val="0"/>
              <w:widowControl/>
              <w:suppressLineNumbers w:val="0"/>
              <w:spacing w:before="0" w:beforeAutospacing="0" w:afterAutospacing="0"/>
              <w:ind w:left="0" w:right="0"/>
              <w:rPr>
                <w:rFonts w:hint="default" w:eastAsiaTheme="minorEastAsia"/>
                <w:iCs/>
                <w:sz w:val="20"/>
                <w:highlight w:val="yellow"/>
                <w:lang w:val="en-US" w:eastAsia="zh-CN"/>
              </w:rPr>
            </w:pPr>
            <w:r>
              <w:rPr>
                <w:rFonts w:hint="default" w:eastAsiaTheme="minorEastAsia"/>
                <w:iCs/>
                <w:sz w:val="20"/>
                <w:highlight w:val="yellow"/>
                <w:lang w:val="en-US" w:eastAsia="zh-CN"/>
              </w:rPr>
              <w:t>Down-select from following options during the next meeting</w:t>
            </w:r>
          </w:p>
          <w:p>
            <w:pPr>
              <w:pStyle w:val="26"/>
              <w:keepNext w:val="0"/>
              <w:keepLines w:val="0"/>
              <w:widowControl/>
              <w:numPr>
                <w:ilvl w:val="0"/>
                <w:numId w:val="6"/>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 w:val="20"/>
                <w:szCs w:val="20"/>
                <w:highlight w:val="yellow"/>
              </w:rPr>
            </w:pPr>
            <w:r>
              <w:rPr>
                <w:rFonts w:hint="default" w:eastAsiaTheme="minorEastAsia"/>
                <w:iCs/>
                <w:sz w:val="20"/>
                <w:szCs w:val="20"/>
                <w:highlight w:val="yellow"/>
                <w:u w:val="single"/>
              </w:rPr>
              <w:t>Option 1:</w:t>
            </w:r>
            <w:r>
              <w:rPr>
                <w:rFonts w:hint="default" w:eastAsiaTheme="minorEastAsia"/>
                <w:iCs/>
                <w:sz w:val="20"/>
                <w:szCs w:val="20"/>
                <w:highlight w:val="yellow"/>
              </w:rPr>
              <w:t xml:space="preserve"> Requirements should be derived based on Rel-16 RAN1 IAB-MT related agreements, i.e., by assuming each IAB-MT can be configured up to four SMTC windows per frequency layer.</w:t>
            </w:r>
          </w:p>
          <w:p>
            <w:pPr>
              <w:pStyle w:val="26"/>
              <w:keepNext w:val="0"/>
              <w:keepLines w:val="0"/>
              <w:widowControl/>
              <w:numPr>
                <w:ilvl w:val="0"/>
                <w:numId w:val="6"/>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 w:val="20"/>
                <w:szCs w:val="20"/>
                <w:highlight w:val="yellow"/>
              </w:rPr>
            </w:pPr>
            <w:r>
              <w:rPr>
                <w:rFonts w:hint="default" w:eastAsiaTheme="minorEastAsia"/>
                <w:iCs/>
                <w:sz w:val="20"/>
                <w:szCs w:val="20"/>
                <w:highlight w:val="yellow"/>
                <w:u w:val="single"/>
              </w:rPr>
              <w:t>Option 2:</w:t>
            </w:r>
            <w:r>
              <w:rPr>
                <w:rFonts w:hint="default" w:eastAsiaTheme="minorEastAsia"/>
                <w:iCs/>
                <w:sz w:val="20"/>
                <w:szCs w:val="20"/>
                <w:highlight w:val="yellow"/>
              </w:rPr>
              <w:t xml:space="preserve"> Requirements should be derived based on Rel-15 UE requirements, i.e., by assuming each IAB-MT can be configured up to two and one SMTC windows per intra-frequency and inter-frequency layers respectively.</w:t>
            </w:r>
          </w:p>
          <w:p>
            <w:pPr>
              <w:pStyle w:val="26"/>
              <w:keepNext w:val="0"/>
              <w:keepLines w:val="0"/>
              <w:widowControl/>
              <w:numPr>
                <w:ilvl w:val="0"/>
                <w:numId w:val="6"/>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 w:val="20"/>
                <w:szCs w:val="20"/>
                <w:highlight w:val="yellow"/>
                <w:u w:val="single"/>
              </w:rPr>
            </w:pPr>
            <w:r>
              <w:rPr>
                <w:rFonts w:hint="default" w:eastAsiaTheme="minorEastAsia"/>
                <w:iCs/>
                <w:sz w:val="20"/>
                <w:szCs w:val="20"/>
                <w:highlight w:val="yellow"/>
                <w:u w:val="single"/>
              </w:rPr>
              <w:t>Option 3:</w:t>
            </w:r>
          </w:p>
          <w:p>
            <w:pPr>
              <w:pStyle w:val="26"/>
              <w:keepNext w:val="0"/>
              <w:keepLines w:val="0"/>
              <w:widowControl/>
              <w:numPr>
                <w:ilvl w:val="1"/>
                <w:numId w:val="6"/>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 w:val="20"/>
                <w:szCs w:val="20"/>
                <w:highlight w:val="yellow"/>
              </w:rPr>
            </w:pPr>
            <w:r>
              <w:rPr>
                <w:rFonts w:hint="default" w:eastAsiaTheme="minorEastAsia"/>
                <w:iCs/>
                <w:sz w:val="20"/>
                <w:szCs w:val="20"/>
                <w:highlight w:val="yellow"/>
              </w:rPr>
              <w:t>For IAB-MTs that support four SMTC configurations per frequency layer, option 1 is supported.</w:t>
            </w:r>
          </w:p>
          <w:p>
            <w:pPr>
              <w:pStyle w:val="26"/>
              <w:keepNext w:val="0"/>
              <w:keepLines w:val="0"/>
              <w:widowControl/>
              <w:numPr>
                <w:ilvl w:val="1"/>
                <w:numId w:val="6"/>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 w:val="20"/>
                <w:szCs w:val="20"/>
                <w:highlight w:val="yellow"/>
              </w:rPr>
            </w:pPr>
            <w:r>
              <w:rPr>
                <w:rFonts w:hint="default" w:eastAsiaTheme="minorEastAsia"/>
                <w:iCs/>
                <w:sz w:val="20"/>
                <w:szCs w:val="20"/>
                <w:highlight w:val="yellow"/>
              </w:rPr>
              <w:t>For IAB-MTs that do not support four SMTC configurations per frequency layer, option 2 is supported.</w:t>
            </w:r>
          </w:p>
          <w:p>
            <w:pPr>
              <w:pStyle w:val="26"/>
              <w:keepNext w:val="0"/>
              <w:keepLines w:val="0"/>
              <w:widowControl/>
              <w:numPr>
                <w:ilvl w:val="1"/>
                <w:numId w:val="6"/>
              </w:numPr>
              <w:suppressLineNumbers w:val="0"/>
              <w:overflowPunct w:val="0"/>
              <w:autoSpaceDE w:val="0"/>
              <w:autoSpaceDN w:val="0"/>
              <w:adjustRightInd w:val="0"/>
              <w:spacing w:before="0" w:beforeAutospacing="0" w:after="180" w:afterAutospacing="0"/>
              <w:ind w:right="0"/>
              <w:textAlignment w:val="baseline"/>
              <w:rPr>
                <w:rFonts w:hint="default" w:eastAsiaTheme="minorEastAsia"/>
                <w:iCs/>
                <w:sz w:val="20"/>
                <w:szCs w:val="20"/>
                <w:highlight w:val="yellow"/>
              </w:rPr>
            </w:pPr>
            <w:r>
              <w:rPr>
                <w:rFonts w:hint="default" w:eastAsiaTheme="minorEastAsia"/>
                <w:iCs/>
                <w:sz w:val="20"/>
                <w:szCs w:val="20"/>
                <w:highlight w:val="yellow"/>
              </w:rPr>
              <w:t xml:space="preserve">Note: </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jc w:val="left"/>
              <w:rPr>
                <w:rFonts w:hint="default" w:eastAsia="宋体"/>
                <w:sz w:val="22"/>
                <w:szCs w:val="22"/>
                <w:vertAlign w:val="baseline"/>
                <w:lang w:val="en-US" w:eastAsia="zh-CN"/>
              </w:rPr>
            </w:pPr>
            <w:r>
              <w:rPr>
                <w:rFonts w:hint="default" w:eastAsiaTheme="minorEastAsia"/>
                <w:iCs/>
                <w:sz w:val="20"/>
                <w:szCs w:val="20"/>
                <w:highlight w:val="yellow"/>
              </w:rPr>
              <w:t>This option does not intend to influence RAN1 feature list discussion regarding whether supporting four SMTC configurations per frequency layer should be mandatory or optional. If RAN1 eventually decides to make this feature, i.e., supporting for SMTC configurations per frequency layer mandatory, mandatory then only option 1 will be supported in RAN4 requirements.</w:t>
            </w:r>
          </w:p>
        </w:tc>
      </w:tr>
    </w:tbl>
    <w:p>
      <w:pPr>
        <w:overflowPunct w:val="0"/>
        <w:autoSpaceDE w:val="0"/>
        <w:autoSpaceDN w:val="0"/>
        <w:adjustRightInd w:val="0"/>
        <w:spacing w:after="0" w:line="240" w:lineRule="auto"/>
        <w:jc w:val="both"/>
        <w:rPr>
          <w:rFonts w:hint="default" w:eastAsia="宋体"/>
          <w:sz w:val="22"/>
          <w:szCs w:val="22"/>
          <w:lang w:val="en-US" w:eastAsia="zh-CN"/>
        </w:rPr>
      </w:pPr>
    </w:p>
    <w:p>
      <w:pPr>
        <w:overflowPunct w:val="0"/>
        <w:autoSpaceDE w:val="0"/>
        <w:autoSpaceDN w:val="0"/>
        <w:adjustRightInd w:val="0"/>
        <w:spacing w:after="0" w:line="240" w:lineRule="auto"/>
        <w:jc w:val="both"/>
        <w:rPr>
          <w:rFonts w:eastAsia="宋体"/>
          <w:lang w:eastAsia="zh-CN"/>
        </w:rPr>
      </w:pPr>
      <w:r>
        <w:rPr>
          <w:rFonts w:hint="eastAsia" w:eastAsia="宋体"/>
          <w:sz w:val="22"/>
          <w:szCs w:val="22"/>
          <w:lang w:eastAsia="zh-CN"/>
        </w:rPr>
        <w:t>This paper intends to provide</w:t>
      </w:r>
      <w:r>
        <w:rPr>
          <w:rFonts w:hint="eastAsia" w:eastAsia="宋体"/>
          <w:sz w:val="22"/>
          <w:szCs w:val="22"/>
          <w:lang w:val="en-US" w:eastAsia="zh-CN"/>
        </w:rPr>
        <w:t xml:space="preserve"> our</w:t>
      </w:r>
      <w:r>
        <w:rPr>
          <w:rFonts w:hint="eastAsia" w:eastAsia="宋体"/>
          <w:sz w:val="22"/>
          <w:szCs w:val="22"/>
          <w:lang w:eastAsia="zh-CN"/>
        </w:rPr>
        <w:t xml:space="preserve"> view on this topic.</w:t>
      </w:r>
    </w:p>
    <w:p>
      <w:pPr>
        <w:pStyle w:val="28"/>
        <w:jc w:val="both"/>
        <w:rPr>
          <w:rFonts w:hint="default"/>
          <w:lang w:val="en-US" w:eastAsia="zh-CN"/>
        </w:rPr>
      </w:pPr>
      <w:r>
        <w:t>2</w:t>
      </w:r>
      <w:r>
        <w:tab/>
      </w:r>
      <w:r>
        <w:rPr>
          <w:rFonts w:hint="eastAsia"/>
          <w:lang w:val="en-US" w:eastAsia="zh-CN"/>
        </w:rPr>
        <w:t>Discussion</w:t>
      </w:r>
    </w:p>
    <w:p>
      <w:pPr>
        <w:numPr>
          <w:ilvl w:val="0"/>
          <w:numId w:val="0"/>
        </w:numPr>
        <w:rPr>
          <w:rFonts w:hint="default" w:eastAsia="宋体" w:cs="Times New Roman"/>
          <w:sz w:val="22"/>
          <w:szCs w:val="22"/>
          <w:lang w:val="en-US" w:eastAsia="zh-CN" w:bidi="ar-SA"/>
        </w:rPr>
      </w:pPr>
      <w:r>
        <w:rPr>
          <w:rFonts w:hint="eastAsia" w:eastAsia="宋体" w:cs="Times New Roman"/>
          <w:sz w:val="22"/>
          <w:szCs w:val="22"/>
          <w:lang w:val="en-US" w:eastAsia="zh-CN" w:bidi="ar-SA"/>
        </w:rPr>
        <w:t>After the discussion period during the last meeting and listening to companies views, we re-evaluated the three options captured in the WF [1] and think that Option 3 might be a good compromise out of the three. Adopting Option 2 would allow the network vendors to prepare the IAB donors faster without too many modifications (since R15 UE requirements are re-used), while RAN1 has clear decisions on the number of SMTC windows which can be configured. Thus, we propose to adopt Option 3 in the WF [1], which is:</w:t>
      </w:r>
    </w:p>
    <w:p>
      <w:pPr>
        <w:pStyle w:val="36"/>
        <w:rPr>
          <w:sz w:val="22"/>
          <w:szCs w:val="22"/>
          <w:lang w:eastAsia="zh-CN"/>
        </w:rPr>
      </w:pPr>
      <w:r>
        <w:rPr>
          <w:rFonts w:hint="eastAsia"/>
          <w:sz w:val="22"/>
          <w:szCs w:val="22"/>
          <w:lang w:eastAsia="zh-CN"/>
        </w:rPr>
        <w:t>For IAB-MTs that support four SMTC configurations per frequency layer, option 1 is supported</w:t>
      </w:r>
      <w:r>
        <w:rPr>
          <w:rFonts w:hint="eastAsia"/>
          <w:sz w:val="22"/>
          <w:szCs w:val="22"/>
          <w:lang w:val="en-US" w:eastAsia="zh-CN"/>
        </w:rPr>
        <w:t xml:space="preserve">; </w:t>
      </w:r>
      <w:r>
        <w:rPr>
          <w:rFonts w:hint="eastAsia"/>
          <w:sz w:val="22"/>
          <w:szCs w:val="22"/>
          <w:lang w:eastAsia="zh-CN"/>
        </w:rPr>
        <w:t>For IAB-MTs that do not support four SMTC configurations per frequency layer, option 2 is supported.</w:t>
      </w:r>
    </w:p>
    <w:p>
      <w:pPr>
        <w:rPr>
          <w:rFonts w:hint="eastAsia"/>
          <w:sz w:val="22"/>
          <w:szCs w:val="22"/>
          <w:lang w:val="en-US" w:eastAsia="zh-CN"/>
        </w:rPr>
      </w:pPr>
      <w:r>
        <w:rPr>
          <w:rFonts w:hint="eastAsia"/>
          <w:sz w:val="22"/>
          <w:szCs w:val="22"/>
          <w:lang w:val="en-US" w:eastAsia="zh-CN"/>
        </w:rPr>
        <w:t>Then, there might be a need to study the signalling to indicate the capability of IAB-MT.</w:t>
      </w:r>
    </w:p>
    <w:p>
      <w:pPr>
        <w:pStyle w:val="36"/>
        <w:rPr>
          <w:sz w:val="22"/>
          <w:szCs w:val="22"/>
          <w:lang w:eastAsia="zh-CN"/>
        </w:rPr>
      </w:pPr>
      <w:r>
        <w:rPr>
          <w:rFonts w:hint="eastAsia"/>
          <w:sz w:val="22"/>
          <w:szCs w:val="22"/>
          <w:lang w:val="en-US" w:eastAsia="zh-CN"/>
        </w:rPr>
        <w:t>Study if signalling is needed for indication of such capability</w:t>
      </w:r>
      <w:r>
        <w:rPr>
          <w:rFonts w:hint="eastAsia"/>
          <w:sz w:val="22"/>
          <w:szCs w:val="22"/>
          <w:lang w:eastAsia="zh-CN"/>
        </w:rPr>
        <w:t>.</w:t>
      </w:r>
    </w:p>
    <w:p>
      <w:pPr>
        <w:rPr>
          <w:rFonts w:hint="default"/>
          <w:sz w:val="22"/>
          <w:szCs w:val="22"/>
          <w:lang w:val="en-US" w:eastAsia="zh-CN"/>
        </w:rPr>
      </w:pPr>
    </w:p>
    <w:p>
      <w:pPr>
        <w:pStyle w:val="28"/>
        <w:jc w:val="both"/>
      </w:pPr>
      <w:r>
        <w:rPr>
          <w:rFonts w:hint="eastAsia"/>
          <w:lang w:val="en-US" w:eastAsia="zh-CN"/>
        </w:rPr>
        <w:t>3</w:t>
      </w:r>
      <w:r>
        <w:tab/>
      </w:r>
      <w:r>
        <w:t>Conclusion</w:t>
      </w:r>
    </w:p>
    <w:p>
      <w:pPr>
        <w:pStyle w:val="36"/>
        <w:numPr>
          <w:ilvl w:val="0"/>
          <w:numId w:val="0"/>
        </w:numPr>
        <w:rPr>
          <w:sz w:val="22"/>
          <w:szCs w:val="22"/>
          <w:lang w:eastAsia="zh-CN"/>
        </w:rPr>
      </w:pPr>
      <w:r>
        <w:rPr>
          <w:rFonts w:hint="eastAsia"/>
          <w:sz w:val="22"/>
          <w:szCs w:val="22"/>
          <w:lang w:eastAsia="zh-CN"/>
        </w:rPr>
        <w:t>Proposal 1: For IAB-MTs that support four SMTC configurations per frequency layer, option 1 is supported</w:t>
      </w:r>
      <w:r>
        <w:rPr>
          <w:rFonts w:hint="eastAsia"/>
          <w:sz w:val="22"/>
          <w:szCs w:val="22"/>
          <w:lang w:val="en-US" w:eastAsia="zh-CN"/>
        </w:rPr>
        <w:t xml:space="preserve">; </w:t>
      </w:r>
      <w:r>
        <w:rPr>
          <w:rFonts w:hint="eastAsia"/>
          <w:sz w:val="22"/>
          <w:szCs w:val="22"/>
          <w:lang w:eastAsia="zh-CN"/>
        </w:rPr>
        <w:t>For IAB-MTs that do not support four SMTC configurations per frequency layer, option 2 is supported</w:t>
      </w:r>
      <w:r>
        <w:rPr>
          <w:sz w:val="22"/>
          <w:szCs w:val="22"/>
          <w:lang w:eastAsia="zh-CN"/>
        </w:rPr>
        <w:t>.</w:t>
      </w:r>
    </w:p>
    <w:p>
      <w:pPr>
        <w:rPr>
          <w:b/>
          <w:bCs/>
          <w:lang w:eastAsia="zh-CN"/>
        </w:rPr>
      </w:pPr>
      <w:r>
        <w:rPr>
          <w:rFonts w:hint="eastAsia"/>
          <w:b/>
          <w:bCs/>
          <w:sz w:val="22"/>
          <w:szCs w:val="22"/>
          <w:lang w:eastAsia="zh-CN"/>
        </w:rPr>
        <w:t xml:space="preserve">Proposal </w:t>
      </w:r>
      <w:r>
        <w:rPr>
          <w:rFonts w:hint="eastAsia"/>
          <w:b/>
          <w:bCs/>
          <w:sz w:val="22"/>
          <w:szCs w:val="22"/>
          <w:lang w:val="en-US" w:eastAsia="zh-CN"/>
        </w:rPr>
        <w:t>2</w:t>
      </w:r>
      <w:r>
        <w:rPr>
          <w:rFonts w:hint="eastAsia"/>
          <w:b/>
          <w:bCs/>
          <w:sz w:val="22"/>
          <w:szCs w:val="22"/>
          <w:lang w:eastAsia="zh-CN"/>
        </w:rPr>
        <w:t xml:space="preserve">: </w:t>
      </w:r>
      <w:r>
        <w:rPr>
          <w:rFonts w:hint="eastAsia"/>
          <w:b/>
          <w:bCs/>
          <w:sz w:val="22"/>
          <w:szCs w:val="22"/>
          <w:lang w:val="en-US" w:eastAsia="zh-CN"/>
        </w:rPr>
        <w:t>Study if signalling is needed for indication of such capability</w:t>
      </w:r>
      <w:r>
        <w:rPr>
          <w:rFonts w:hint="eastAsia"/>
          <w:b/>
          <w:bCs/>
          <w:sz w:val="22"/>
          <w:szCs w:val="22"/>
          <w:lang w:eastAsia="zh-CN"/>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lang w:val="en-GB"/>
        </w:rPr>
      </w:pPr>
      <w:r>
        <w:rPr>
          <w:rFonts w:hint="eastAsia"/>
          <w:lang w:val="en-GB"/>
        </w:rPr>
        <w:t>R4-20053</w:t>
      </w:r>
      <w:r>
        <w:rPr>
          <w:rFonts w:hint="eastAsia" w:eastAsia="宋体"/>
          <w:lang w:val="en-US" w:eastAsia="zh-CN"/>
        </w:rPr>
        <w:t>1</w:t>
      </w:r>
      <w:r>
        <w:rPr>
          <w:rFonts w:hint="eastAsia"/>
          <w:lang w:val="en-GB"/>
        </w:rPr>
        <w:t>8</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8BD3835"/>
    <w:multiLevelType w:val="multilevel"/>
    <w:tmpl w:val="48BD38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4"/>
  </w:num>
  <w:num w:numId="3">
    <w:abstractNumId w:val="3"/>
  </w:num>
  <w:num w:numId="4">
    <w:abstractNumId w:val="6"/>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bordersDoNotSurroundHeader w:val="1"/>
  <w:bordersDoNotSurroundFooter w:val="1"/>
  <w:documentProtection w:enforcement="0"/>
  <w:defaultTabStop w:val="720"/>
  <w:hyphenationZone w:val="425"/>
  <w:displayHorizontalDrawingGridEvery w:val="0"/>
  <w:displayVerticalDrawingGridEvery w:val="2"/>
  <w:characterSpacingControl w:val="doNotCompress"/>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0760"/>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65E3C"/>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3A25"/>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40228"/>
    <w:rsid w:val="00454DA2"/>
    <w:rsid w:val="004615C9"/>
    <w:rsid w:val="0046628B"/>
    <w:rsid w:val="00475300"/>
    <w:rsid w:val="004765AE"/>
    <w:rsid w:val="0048457F"/>
    <w:rsid w:val="00493619"/>
    <w:rsid w:val="004A49A3"/>
    <w:rsid w:val="004B4607"/>
    <w:rsid w:val="004B7E0A"/>
    <w:rsid w:val="004C248A"/>
    <w:rsid w:val="004D025F"/>
    <w:rsid w:val="004D1556"/>
    <w:rsid w:val="004D28AE"/>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5A7B"/>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74938"/>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5325"/>
    <w:rsid w:val="00BA6E48"/>
    <w:rsid w:val="00BB1F30"/>
    <w:rsid w:val="00BB486B"/>
    <w:rsid w:val="00BB6036"/>
    <w:rsid w:val="00BC08CB"/>
    <w:rsid w:val="00BC20DA"/>
    <w:rsid w:val="00BC4263"/>
    <w:rsid w:val="00BC4539"/>
    <w:rsid w:val="00BC7C70"/>
    <w:rsid w:val="00BD1516"/>
    <w:rsid w:val="00BE3E89"/>
    <w:rsid w:val="00BF2116"/>
    <w:rsid w:val="00BF2218"/>
    <w:rsid w:val="00C07FAE"/>
    <w:rsid w:val="00C52E17"/>
    <w:rsid w:val="00C632F3"/>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1C2B"/>
    <w:rsid w:val="00D23335"/>
    <w:rsid w:val="00D351EA"/>
    <w:rsid w:val="00D3647B"/>
    <w:rsid w:val="00D43403"/>
    <w:rsid w:val="00D51F31"/>
    <w:rsid w:val="00D53298"/>
    <w:rsid w:val="00D62E71"/>
    <w:rsid w:val="00D740CA"/>
    <w:rsid w:val="00D85728"/>
    <w:rsid w:val="00D91DE2"/>
    <w:rsid w:val="00D97E8C"/>
    <w:rsid w:val="00DB14A7"/>
    <w:rsid w:val="00DB5EE5"/>
    <w:rsid w:val="00DC67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635F7"/>
    <w:rsid w:val="00F72507"/>
    <w:rsid w:val="00F72ED0"/>
    <w:rsid w:val="00F824F5"/>
    <w:rsid w:val="00FA5814"/>
    <w:rsid w:val="00FB3E7A"/>
    <w:rsid w:val="00FB49DD"/>
    <w:rsid w:val="00FC138C"/>
    <w:rsid w:val="00FC1E8B"/>
    <w:rsid w:val="00FC29B9"/>
    <w:rsid w:val="00FC6FD3"/>
    <w:rsid w:val="00FD04FD"/>
    <w:rsid w:val="00FD2D1E"/>
    <w:rsid w:val="00FF47B8"/>
    <w:rsid w:val="00FF6C99"/>
    <w:rsid w:val="017B5E4B"/>
    <w:rsid w:val="018D054D"/>
    <w:rsid w:val="01FF08B3"/>
    <w:rsid w:val="02C25D33"/>
    <w:rsid w:val="03261262"/>
    <w:rsid w:val="03A670A2"/>
    <w:rsid w:val="03C6506D"/>
    <w:rsid w:val="03F37217"/>
    <w:rsid w:val="044D658C"/>
    <w:rsid w:val="04651114"/>
    <w:rsid w:val="04C77D0A"/>
    <w:rsid w:val="04D5204C"/>
    <w:rsid w:val="04F70E27"/>
    <w:rsid w:val="05816336"/>
    <w:rsid w:val="059B61E4"/>
    <w:rsid w:val="05A86143"/>
    <w:rsid w:val="06105DAC"/>
    <w:rsid w:val="069766CC"/>
    <w:rsid w:val="07502CA2"/>
    <w:rsid w:val="078B76F8"/>
    <w:rsid w:val="079D410C"/>
    <w:rsid w:val="082A214B"/>
    <w:rsid w:val="08641205"/>
    <w:rsid w:val="08935729"/>
    <w:rsid w:val="08AC4FE1"/>
    <w:rsid w:val="08C654D4"/>
    <w:rsid w:val="08CC5D10"/>
    <w:rsid w:val="090062DC"/>
    <w:rsid w:val="09484892"/>
    <w:rsid w:val="099F556C"/>
    <w:rsid w:val="0A182C8A"/>
    <w:rsid w:val="0A5763D4"/>
    <w:rsid w:val="0A7BF868"/>
    <w:rsid w:val="0B110A9C"/>
    <w:rsid w:val="0B7322DC"/>
    <w:rsid w:val="0BB77882"/>
    <w:rsid w:val="0C56263C"/>
    <w:rsid w:val="0C5E2B8A"/>
    <w:rsid w:val="0CA32A9A"/>
    <w:rsid w:val="0DF104D3"/>
    <w:rsid w:val="0E9A4DF2"/>
    <w:rsid w:val="0ED138E6"/>
    <w:rsid w:val="0F220CA0"/>
    <w:rsid w:val="0F67780F"/>
    <w:rsid w:val="0FB648CB"/>
    <w:rsid w:val="0FD0731A"/>
    <w:rsid w:val="0FEE7772"/>
    <w:rsid w:val="0FF1533A"/>
    <w:rsid w:val="0FFE0AFA"/>
    <w:rsid w:val="10AA3C13"/>
    <w:rsid w:val="10CD0B75"/>
    <w:rsid w:val="110C4B64"/>
    <w:rsid w:val="110C4D24"/>
    <w:rsid w:val="117F51CC"/>
    <w:rsid w:val="12170E3F"/>
    <w:rsid w:val="12814762"/>
    <w:rsid w:val="128409CA"/>
    <w:rsid w:val="12BB3A94"/>
    <w:rsid w:val="12E84BB2"/>
    <w:rsid w:val="12EF585C"/>
    <w:rsid w:val="13262572"/>
    <w:rsid w:val="13541EB6"/>
    <w:rsid w:val="137D50D6"/>
    <w:rsid w:val="139B3B65"/>
    <w:rsid w:val="13D36053"/>
    <w:rsid w:val="13E86678"/>
    <w:rsid w:val="13E96D1A"/>
    <w:rsid w:val="13F75352"/>
    <w:rsid w:val="146A1F87"/>
    <w:rsid w:val="1480544B"/>
    <w:rsid w:val="1494674C"/>
    <w:rsid w:val="14B36B91"/>
    <w:rsid w:val="156537F8"/>
    <w:rsid w:val="159E2078"/>
    <w:rsid w:val="15E76E97"/>
    <w:rsid w:val="164A1745"/>
    <w:rsid w:val="165D0583"/>
    <w:rsid w:val="16654289"/>
    <w:rsid w:val="16DB79C9"/>
    <w:rsid w:val="17141F2D"/>
    <w:rsid w:val="173D19D4"/>
    <w:rsid w:val="175141B9"/>
    <w:rsid w:val="175C7D37"/>
    <w:rsid w:val="17777787"/>
    <w:rsid w:val="17A62BCE"/>
    <w:rsid w:val="17E826AB"/>
    <w:rsid w:val="17FF0FDD"/>
    <w:rsid w:val="181B7650"/>
    <w:rsid w:val="18D3414F"/>
    <w:rsid w:val="18D91924"/>
    <w:rsid w:val="19841237"/>
    <w:rsid w:val="1A0B3A21"/>
    <w:rsid w:val="1A485F4E"/>
    <w:rsid w:val="1A9E1F80"/>
    <w:rsid w:val="1B3329B5"/>
    <w:rsid w:val="1B6237C1"/>
    <w:rsid w:val="1B7F155B"/>
    <w:rsid w:val="1BA53662"/>
    <w:rsid w:val="1C9823D7"/>
    <w:rsid w:val="1CD01A86"/>
    <w:rsid w:val="1D1F1294"/>
    <w:rsid w:val="1D21202E"/>
    <w:rsid w:val="1E8806BC"/>
    <w:rsid w:val="1EA137E3"/>
    <w:rsid w:val="1ED222E4"/>
    <w:rsid w:val="1F0936F5"/>
    <w:rsid w:val="1F17474D"/>
    <w:rsid w:val="1F711839"/>
    <w:rsid w:val="1FEF0C19"/>
    <w:rsid w:val="200D067C"/>
    <w:rsid w:val="20322007"/>
    <w:rsid w:val="20811B82"/>
    <w:rsid w:val="209869EC"/>
    <w:rsid w:val="20A662B2"/>
    <w:rsid w:val="211451D0"/>
    <w:rsid w:val="2151075A"/>
    <w:rsid w:val="219E74A3"/>
    <w:rsid w:val="21A36D27"/>
    <w:rsid w:val="21AF5B6E"/>
    <w:rsid w:val="22571B82"/>
    <w:rsid w:val="22C0245E"/>
    <w:rsid w:val="23514077"/>
    <w:rsid w:val="23B20773"/>
    <w:rsid w:val="23CF6D67"/>
    <w:rsid w:val="2446528E"/>
    <w:rsid w:val="248F188B"/>
    <w:rsid w:val="24E91488"/>
    <w:rsid w:val="25077EC5"/>
    <w:rsid w:val="25962669"/>
    <w:rsid w:val="25B4494A"/>
    <w:rsid w:val="25C20278"/>
    <w:rsid w:val="262D62D9"/>
    <w:rsid w:val="26681CAB"/>
    <w:rsid w:val="267E5FCE"/>
    <w:rsid w:val="27572E0B"/>
    <w:rsid w:val="278A7637"/>
    <w:rsid w:val="280C272A"/>
    <w:rsid w:val="28173FA3"/>
    <w:rsid w:val="284E33F7"/>
    <w:rsid w:val="287A3770"/>
    <w:rsid w:val="28874F6E"/>
    <w:rsid w:val="293606FA"/>
    <w:rsid w:val="29517179"/>
    <w:rsid w:val="29E7086A"/>
    <w:rsid w:val="2A1219AD"/>
    <w:rsid w:val="2A2C3077"/>
    <w:rsid w:val="2A394321"/>
    <w:rsid w:val="2A3D75B1"/>
    <w:rsid w:val="2A4212A0"/>
    <w:rsid w:val="2AE26D3F"/>
    <w:rsid w:val="2AF8774D"/>
    <w:rsid w:val="2B0F6E62"/>
    <w:rsid w:val="2BB04900"/>
    <w:rsid w:val="2C3A3275"/>
    <w:rsid w:val="2D233DAE"/>
    <w:rsid w:val="2D8E403A"/>
    <w:rsid w:val="2E145F76"/>
    <w:rsid w:val="2E2C6889"/>
    <w:rsid w:val="2EA86D09"/>
    <w:rsid w:val="2F32226B"/>
    <w:rsid w:val="2F376D10"/>
    <w:rsid w:val="2F460B48"/>
    <w:rsid w:val="2FA231C5"/>
    <w:rsid w:val="2FD96B06"/>
    <w:rsid w:val="308B484A"/>
    <w:rsid w:val="308B65F2"/>
    <w:rsid w:val="310D1F53"/>
    <w:rsid w:val="3117229F"/>
    <w:rsid w:val="31395268"/>
    <w:rsid w:val="31A50177"/>
    <w:rsid w:val="320F0A18"/>
    <w:rsid w:val="324554E5"/>
    <w:rsid w:val="325D2B5A"/>
    <w:rsid w:val="327661FC"/>
    <w:rsid w:val="32995548"/>
    <w:rsid w:val="32A61B7A"/>
    <w:rsid w:val="32B33B5A"/>
    <w:rsid w:val="32EE27B2"/>
    <w:rsid w:val="33372789"/>
    <w:rsid w:val="33484A1E"/>
    <w:rsid w:val="335F47E9"/>
    <w:rsid w:val="34522D52"/>
    <w:rsid w:val="346E4104"/>
    <w:rsid w:val="3476470C"/>
    <w:rsid w:val="34D83C16"/>
    <w:rsid w:val="3509315E"/>
    <w:rsid w:val="351A4CC6"/>
    <w:rsid w:val="352340AB"/>
    <w:rsid w:val="359B2FCE"/>
    <w:rsid w:val="35A367AC"/>
    <w:rsid w:val="35D850E1"/>
    <w:rsid w:val="3625727C"/>
    <w:rsid w:val="36C52BB2"/>
    <w:rsid w:val="36D83CAB"/>
    <w:rsid w:val="373B0ED4"/>
    <w:rsid w:val="376D4B23"/>
    <w:rsid w:val="37705F34"/>
    <w:rsid w:val="377700B0"/>
    <w:rsid w:val="37976F74"/>
    <w:rsid w:val="37AF7036"/>
    <w:rsid w:val="380927B5"/>
    <w:rsid w:val="3876150B"/>
    <w:rsid w:val="392739EA"/>
    <w:rsid w:val="39341AC4"/>
    <w:rsid w:val="3946679B"/>
    <w:rsid w:val="399A43EA"/>
    <w:rsid w:val="3A0F1960"/>
    <w:rsid w:val="3A166029"/>
    <w:rsid w:val="3AF216E5"/>
    <w:rsid w:val="3B0D6FED"/>
    <w:rsid w:val="3B30671A"/>
    <w:rsid w:val="3B4C63FD"/>
    <w:rsid w:val="3B5662AC"/>
    <w:rsid w:val="3CCE203C"/>
    <w:rsid w:val="3D0C1655"/>
    <w:rsid w:val="3D111A95"/>
    <w:rsid w:val="3D77737D"/>
    <w:rsid w:val="3DC04E13"/>
    <w:rsid w:val="3DD244E7"/>
    <w:rsid w:val="3E5B41D6"/>
    <w:rsid w:val="3ECE16FA"/>
    <w:rsid w:val="3FF55768"/>
    <w:rsid w:val="40566CBF"/>
    <w:rsid w:val="407921CE"/>
    <w:rsid w:val="40C04FE0"/>
    <w:rsid w:val="40CD3DFD"/>
    <w:rsid w:val="412377D2"/>
    <w:rsid w:val="41A105B1"/>
    <w:rsid w:val="41AA7137"/>
    <w:rsid w:val="41FC2424"/>
    <w:rsid w:val="42381A71"/>
    <w:rsid w:val="426B0C9E"/>
    <w:rsid w:val="42841694"/>
    <w:rsid w:val="429266C7"/>
    <w:rsid w:val="42AF1322"/>
    <w:rsid w:val="42C84FA7"/>
    <w:rsid w:val="42E73C10"/>
    <w:rsid w:val="43EE582E"/>
    <w:rsid w:val="43FB3DA4"/>
    <w:rsid w:val="441C4006"/>
    <w:rsid w:val="449E489D"/>
    <w:rsid w:val="44B24294"/>
    <w:rsid w:val="44B93C87"/>
    <w:rsid w:val="451019FB"/>
    <w:rsid w:val="455B13AC"/>
    <w:rsid w:val="45981D48"/>
    <w:rsid w:val="45CF3CD0"/>
    <w:rsid w:val="460567D8"/>
    <w:rsid w:val="462F25DF"/>
    <w:rsid w:val="46620161"/>
    <w:rsid w:val="47313652"/>
    <w:rsid w:val="47C304FD"/>
    <w:rsid w:val="47C357A6"/>
    <w:rsid w:val="47D77F02"/>
    <w:rsid w:val="487C3875"/>
    <w:rsid w:val="48977283"/>
    <w:rsid w:val="48FA3778"/>
    <w:rsid w:val="49240337"/>
    <w:rsid w:val="49896512"/>
    <w:rsid w:val="4996414B"/>
    <w:rsid w:val="49BA3D71"/>
    <w:rsid w:val="49C27E73"/>
    <w:rsid w:val="4A017308"/>
    <w:rsid w:val="4AA22C8B"/>
    <w:rsid w:val="4AF26B9D"/>
    <w:rsid w:val="4B85087E"/>
    <w:rsid w:val="4BB65435"/>
    <w:rsid w:val="4BCE1489"/>
    <w:rsid w:val="4C331CC6"/>
    <w:rsid w:val="4C723787"/>
    <w:rsid w:val="4C7A2C01"/>
    <w:rsid w:val="4CA552A3"/>
    <w:rsid w:val="4CF05EAC"/>
    <w:rsid w:val="4CF31DBE"/>
    <w:rsid w:val="4D102CB4"/>
    <w:rsid w:val="4D1315C7"/>
    <w:rsid w:val="4D953107"/>
    <w:rsid w:val="4D9E609E"/>
    <w:rsid w:val="4E0243C8"/>
    <w:rsid w:val="4E3A7291"/>
    <w:rsid w:val="4EB053BD"/>
    <w:rsid w:val="4FDC68F3"/>
    <w:rsid w:val="50005DA1"/>
    <w:rsid w:val="505A1CB0"/>
    <w:rsid w:val="509778C7"/>
    <w:rsid w:val="50C12D72"/>
    <w:rsid w:val="50C34780"/>
    <w:rsid w:val="51125440"/>
    <w:rsid w:val="51773E2A"/>
    <w:rsid w:val="51C53170"/>
    <w:rsid w:val="5280421D"/>
    <w:rsid w:val="52BF27F0"/>
    <w:rsid w:val="535E62F0"/>
    <w:rsid w:val="5361709F"/>
    <w:rsid w:val="53705401"/>
    <w:rsid w:val="53752E8D"/>
    <w:rsid w:val="540D782C"/>
    <w:rsid w:val="5493082A"/>
    <w:rsid w:val="55362923"/>
    <w:rsid w:val="5553143F"/>
    <w:rsid w:val="55835BB5"/>
    <w:rsid w:val="55B42DC5"/>
    <w:rsid w:val="572C4710"/>
    <w:rsid w:val="586B2608"/>
    <w:rsid w:val="592D7AE2"/>
    <w:rsid w:val="593554F0"/>
    <w:rsid w:val="59840ED4"/>
    <w:rsid w:val="5A3078C5"/>
    <w:rsid w:val="5AD075C6"/>
    <w:rsid w:val="5ADF3A74"/>
    <w:rsid w:val="5AE53367"/>
    <w:rsid w:val="5B0B0083"/>
    <w:rsid w:val="5B7C141A"/>
    <w:rsid w:val="5BC3228B"/>
    <w:rsid w:val="5C0961E3"/>
    <w:rsid w:val="5C3B1FEA"/>
    <w:rsid w:val="5CFD674B"/>
    <w:rsid w:val="5D041ECD"/>
    <w:rsid w:val="5E2D4C21"/>
    <w:rsid w:val="5E70786E"/>
    <w:rsid w:val="5EE41E2E"/>
    <w:rsid w:val="5F0F00DA"/>
    <w:rsid w:val="60017F85"/>
    <w:rsid w:val="6038792D"/>
    <w:rsid w:val="6045086B"/>
    <w:rsid w:val="60745B63"/>
    <w:rsid w:val="60B937A9"/>
    <w:rsid w:val="60FE56E9"/>
    <w:rsid w:val="61051332"/>
    <w:rsid w:val="6155106E"/>
    <w:rsid w:val="618D3C04"/>
    <w:rsid w:val="62733B1E"/>
    <w:rsid w:val="62762AC5"/>
    <w:rsid w:val="62B7743E"/>
    <w:rsid w:val="63754386"/>
    <w:rsid w:val="64116858"/>
    <w:rsid w:val="648D5222"/>
    <w:rsid w:val="64B2258D"/>
    <w:rsid w:val="65C47369"/>
    <w:rsid w:val="65C64C37"/>
    <w:rsid w:val="666A2B92"/>
    <w:rsid w:val="66AB371C"/>
    <w:rsid w:val="66AE1192"/>
    <w:rsid w:val="66CA69C3"/>
    <w:rsid w:val="67E42DFA"/>
    <w:rsid w:val="69462386"/>
    <w:rsid w:val="6A3258BD"/>
    <w:rsid w:val="6A7016FE"/>
    <w:rsid w:val="6AFC6812"/>
    <w:rsid w:val="6B5E2EC6"/>
    <w:rsid w:val="6C42065A"/>
    <w:rsid w:val="6C6F44FD"/>
    <w:rsid w:val="6C941F4B"/>
    <w:rsid w:val="6CD4731D"/>
    <w:rsid w:val="6CDE2147"/>
    <w:rsid w:val="6D3205F0"/>
    <w:rsid w:val="6DB702B4"/>
    <w:rsid w:val="6DB73037"/>
    <w:rsid w:val="6DC04BB8"/>
    <w:rsid w:val="6E1E768E"/>
    <w:rsid w:val="6E2613EB"/>
    <w:rsid w:val="6E504618"/>
    <w:rsid w:val="6EB20078"/>
    <w:rsid w:val="6F2B4BD4"/>
    <w:rsid w:val="6F4D6566"/>
    <w:rsid w:val="6F5579D7"/>
    <w:rsid w:val="6F801AF8"/>
    <w:rsid w:val="6F8D5AAE"/>
    <w:rsid w:val="6FFF59CB"/>
    <w:rsid w:val="70160759"/>
    <w:rsid w:val="70200B37"/>
    <w:rsid w:val="7037013D"/>
    <w:rsid w:val="704E4A67"/>
    <w:rsid w:val="706D5546"/>
    <w:rsid w:val="70995673"/>
    <w:rsid w:val="70AA0AC2"/>
    <w:rsid w:val="70EA7511"/>
    <w:rsid w:val="71143E21"/>
    <w:rsid w:val="71B63911"/>
    <w:rsid w:val="71DF59A8"/>
    <w:rsid w:val="71FF4CC1"/>
    <w:rsid w:val="7283496B"/>
    <w:rsid w:val="72867A39"/>
    <w:rsid w:val="72EE3608"/>
    <w:rsid w:val="72FC12C9"/>
    <w:rsid w:val="7326714D"/>
    <w:rsid w:val="732F59FD"/>
    <w:rsid w:val="734B5574"/>
    <w:rsid w:val="7355417D"/>
    <w:rsid w:val="736C3FBB"/>
    <w:rsid w:val="73A73275"/>
    <w:rsid w:val="74D53B99"/>
    <w:rsid w:val="75122532"/>
    <w:rsid w:val="75235732"/>
    <w:rsid w:val="754C1AAF"/>
    <w:rsid w:val="75973C7F"/>
    <w:rsid w:val="76D8737F"/>
    <w:rsid w:val="76DB158C"/>
    <w:rsid w:val="76E279D7"/>
    <w:rsid w:val="772E0626"/>
    <w:rsid w:val="7754709D"/>
    <w:rsid w:val="77652A8D"/>
    <w:rsid w:val="776E285A"/>
    <w:rsid w:val="77B02D8D"/>
    <w:rsid w:val="77C0093D"/>
    <w:rsid w:val="77C90B9C"/>
    <w:rsid w:val="784258BF"/>
    <w:rsid w:val="788A73B5"/>
    <w:rsid w:val="78987EF7"/>
    <w:rsid w:val="78E22C2B"/>
    <w:rsid w:val="7925298D"/>
    <w:rsid w:val="793758F2"/>
    <w:rsid w:val="793F1E1F"/>
    <w:rsid w:val="79A44BAB"/>
    <w:rsid w:val="7A6209BD"/>
    <w:rsid w:val="7A6F59CA"/>
    <w:rsid w:val="7A787ECB"/>
    <w:rsid w:val="7A8B51CB"/>
    <w:rsid w:val="7AB507FA"/>
    <w:rsid w:val="7AC634CB"/>
    <w:rsid w:val="7B970443"/>
    <w:rsid w:val="7C41564D"/>
    <w:rsid w:val="7C5562E5"/>
    <w:rsid w:val="7CB561C0"/>
    <w:rsid w:val="7CCC277F"/>
    <w:rsid w:val="7CE3033A"/>
    <w:rsid w:val="7D081DB0"/>
    <w:rsid w:val="7D0A2590"/>
    <w:rsid w:val="7D550752"/>
    <w:rsid w:val="7D6A7A29"/>
    <w:rsid w:val="7DCC5A45"/>
    <w:rsid w:val="7E33250C"/>
    <w:rsid w:val="7E74399F"/>
    <w:rsid w:val="7E8B6D0C"/>
    <w:rsid w:val="7F285EA4"/>
    <w:rsid w:val="7F787EDB"/>
    <w:rsid w:val="7F8E6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outlineLvl w:val="3"/>
    </w:pPr>
    <w:rPr>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Layout w:type="fixed"/>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
    <w:semiHidden/>
    <w:unhideWhenUsed/>
    <w:qFormat/>
    <w:uiPriority w:val="99"/>
    <w:pPr>
      <w:ind w:left="566" w:hanging="283"/>
      <w:contextualSpacing/>
    </w:pPr>
  </w:style>
  <w:style w:type="paragraph" w:styleId="10">
    <w:name w:val="Balloon Text"/>
    <w:basedOn w:val="1"/>
    <w:link w:val="23"/>
    <w:semiHidden/>
    <w:unhideWhenUsed/>
    <w:qFormat/>
    <w:uiPriority w:val="99"/>
    <w:pPr>
      <w:spacing w:after="0" w:line="240" w:lineRule="auto"/>
    </w:pPr>
    <w:rPr>
      <w:rFonts w:ascii="Segoe UI" w:hAnsi="Segoe UI" w:cs="Segoe UI"/>
      <w:sz w:val="18"/>
      <w:szCs w:val="18"/>
    </w:rPr>
  </w:style>
  <w:style w:type="paragraph" w:styleId="11">
    <w:name w:val="header"/>
    <w:link w:val="53"/>
    <w:semiHidden/>
    <w:unhideWhenUsed/>
    <w:qFormat/>
    <w:uiPriority w:val="0"/>
    <w:pPr>
      <w:widowControl w:val="0"/>
    </w:pPr>
    <w:rPr>
      <w:rFonts w:ascii="Tms Rmn" w:hAnsi="Tms Rmn" w:eastAsiaTheme="minorHAnsi" w:cstheme="minorBidi"/>
      <w:b/>
      <w:sz w:val="18"/>
      <w:szCs w:val="22"/>
      <w:lang w:val="en-US" w:eastAsia="en-US" w:bidi="ar-SA"/>
    </w:rPr>
  </w:style>
  <w:style w:type="paragraph" w:styleId="12">
    <w:name w:val="toc 1"/>
    <w:basedOn w:val="1"/>
    <w:next w:val="1"/>
    <w:unhideWhenUsed/>
    <w:qFormat/>
    <w:uiPriority w:val="39"/>
    <w:pPr>
      <w:spacing w:after="100"/>
    </w:pPr>
  </w:style>
  <w:style w:type="paragraph" w:styleId="13">
    <w:name w:val="table of figures"/>
    <w:basedOn w:val="1"/>
    <w:next w:val="1"/>
    <w:unhideWhenUsed/>
    <w:qFormat/>
    <w:uiPriority w:val="99"/>
    <w:pPr>
      <w:spacing w:after="0"/>
    </w:pPr>
  </w:style>
  <w:style w:type="paragraph" w:styleId="14">
    <w:name w:val="toc 2"/>
    <w:basedOn w:val="1"/>
    <w:next w:val="1"/>
    <w:unhideWhenUsed/>
    <w:qFormat/>
    <w:uiPriority w:val="39"/>
    <w:pPr>
      <w:spacing w:after="100"/>
      <w:ind w:left="200"/>
    </w:pPr>
  </w:style>
  <w:style w:type="paragraph" w:styleId="15">
    <w:name w:val="Normal (Web)"/>
    <w:basedOn w:val="1"/>
    <w:semiHidden/>
    <w:unhideWhenUsed/>
    <w:qFormat/>
    <w:uiPriority w:val="99"/>
    <w:rPr>
      <w:sz w:val="24"/>
    </w:r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批注框文本 字符"/>
    <w:basedOn w:val="19"/>
    <w:link w:val="10"/>
    <w:semiHidden/>
    <w:qFormat/>
    <w:uiPriority w:val="99"/>
    <w:rPr>
      <w:rFonts w:ascii="Segoe UI" w:hAnsi="Segoe UI" w:cs="Segoe UI"/>
      <w:sz w:val="18"/>
      <w:szCs w:val="18"/>
    </w:rPr>
  </w:style>
  <w:style w:type="character" w:customStyle="1" w:styleId="24">
    <w:name w:val="标题 2 字符"/>
    <w:basedOn w:val="19"/>
    <w:link w:val="3"/>
    <w:qFormat/>
    <w:uiPriority w:val="0"/>
    <w:rPr>
      <w:rFonts w:ascii="Arial" w:hAnsi="Arial" w:eastAsia="Times New Roman" w:cs="Times New Roman"/>
      <w:sz w:val="32"/>
      <w:szCs w:val="20"/>
      <w:lang w:val="en-GB"/>
    </w:rPr>
  </w:style>
  <w:style w:type="character" w:customStyle="1" w:styleId="25">
    <w:name w:val="标题 1 字符"/>
    <w:basedOn w:val="19"/>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19"/>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列表段落 字符"/>
    <w:basedOn w:val="19"/>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标题1"/>
    <w:basedOn w:val="2"/>
    <w:next w:val="1"/>
    <w:unhideWhenUsed/>
    <w:qFormat/>
    <w:uiPriority w:val="39"/>
    <w:pPr>
      <w:outlineLvl w:val="9"/>
    </w:pPr>
  </w:style>
  <w:style w:type="character" w:customStyle="1" w:styleId="38">
    <w:name w:val="题注 字符"/>
    <w:basedOn w:val="19"/>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未处理的提及1"/>
    <w:basedOn w:val="19"/>
    <w:semiHidden/>
    <w:unhideWhenUsed/>
    <w:qFormat/>
    <w:uiPriority w:val="99"/>
    <w:rPr>
      <w:color w:val="808080"/>
      <w:shd w:val="clear" w:color="auto" w:fill="E6E6E6"/>
    </w:rPr>
  </w:style>
  <w:style w:type="character" w:customStyle="1" w:styleId="43">
    <w:name w:val="标题 4 字符"/>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正文文本 字符"/>
    <w:basedOn w:val="19"/>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页眉 字符"/>
    <w:basedOn w:val="19"/>
    <w:link w:val="11"/>
    <w:semiHidden/>
    <w:qFormat/>
    <w:locked/>
    <w:uiPriority w:val="0"/>
    <w:rPr>
      <w:rFonts w:ascii="Tms Rmn" w:hAnsi="Tms Rmn"/>
      <w:b/>
      <w:sz w:val="18"/>
    </w:rPr>
  </w:style>
  <w:style w:type="character" w:customStyle="1" w:styleId="54">
    <w:name w:val="Header Char1"/>
    <w:basedOn w:val="19"/>
    <w:semiHidden/>
    <w:qFormat/>
    <w:uiPriority w:val="99"/>
    <w:rPr>
      <w:rFonts w:ascii="Times New Roman" w:hAnsi="Times New Roman"/>
      <w:sz w:val="20"/>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pPr>
    <w:rPr>
      <w:rFonts w:ascii="Arial" w:hAnsi="Arial" w:cs="Arial" w:eastAsiaTheme="minorHAnsi"/>
      <w:sz w:val="22"/>
      <w:szCs w:val="22"/>
      <w:lang w:val="en-GB" w:eastAsia="en-US" w:bidi="ar-SA"/>
    </w:rPr>
  </w:style>
  <w:style w:type="character" w:customStyle="1" w:styleId="57">
    <w:name w:val="批注文字 字符"/>
    <w:basedOn w:val="19"/>
    <w:link w:val="7"/>
    <w:semiHidden/>
    <w:qFormat/>
    <w:uiPriority w:val="99"/>
    <w:rPr>
      <w:rFonts w:ascii="Times New Roman" w:hAnsi="Times New Roman"/>
      <w:sz w:val="20"/>
      <w:szCs w:val="20"/>
    </w:rPr>
  </w:style>
  <w:style w:type="character" w:customStyle="1" w:styleId="58">
    <w:name w:val="批注主题 字符"/>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TAC"/>
    <w:basedOn w:val="1"/>
    <w:link w:val="67"/>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ascii="Arial" w:hAnsi="Arial" w:eastAsia="Times New Roman" w:cs="Times New Roman"/>
      <w:kern w:val="0"/>
      <w:sz w:val="18"/>
      <w:szCs w:val="20"/>
      <w:lang w:val="en-US" w:eastAsia="zh-CN" w:bidi="ar"/>
    </w:rPr>
  </w:style>
  <w:style w:type="paragraph" w:customStyle="1" w:styleId="66">
    <w:name w:val="TAH"/>
    <w:basedOn w:val="65"/>
    <w:link w:val="69"/>
    <w:qFormat/>
    <w:uiPriority w:val="0"/>
    <w:pPr>
      <w:keepNext/>
      <w:keepLines/>
      <w:widowControl/>
      <w:suppressLineNumbers w:val="0"/>
      <w:overflowPunct w:val="0"/>
      <w:autoSpaceDE w:val="0"/>
      <w:autoSpaceDN w:val="0"/>
      <w:adjustRightInd w:val="0"/>
      <w:spacing w:before="0" w:beforeAutospacing="0" w:after="0" w:afterAutospacing="0"/>
      <w:ind w:left="0" w:right="0"/>
      <w:jc w:val="center"/>
    </w:pPr>
    <w:rPr>
      <w:rFonts w:hint="default" w:ascii="Arial" w:hAnsi="Arial" w:eastAsia="Times New Roman" w:cs="Times New Roman"/>
      <w:b/>
      <w:kern w:val="0"/>
      <w:sz w:val="18"/>
      <w:szCs w:val="20"/>
      <w:lang w:val="en-US" w:eastAsia="zh-CN" w:bidi="ar"/>
    </w:rPr>
  </w:style>
  <w:style w:type="character" w:customStyle="1" w:styleId="67">
    <w:name w:val="TAC Char"/>
    <w:basedOn w:val="19"/>
    <w:link w:val="65"/>
    <w:qFormat/>
    <w:uiPriority w:val="0"/>
    <w:rPr>
      <w:rFonts w:hint="default" w:ascii="Arial" w:hAnsi="Arial" w:eastAsia="Times New Roman" w:cs="Arial"/>
      <w:sz w:val="18"/>
      <w:lang w:val="en-US"/>
    </w:rPr>
  </w:style>
  <w:style w:type="character" w:customStyle="1" w:styleId="68">
    <w:name w:val="TH Char"/>
    <w:basedOn w:val="19"/>
    <w:qFormat/>
    <w:uiPriority w:val="0"/>
    <w:rPr>
      <w:rFonts w:hint="default" w:ascii="Arial" w:hAnsi="Arial" w:eastAsia="Times New Roman" w:cs="Arial"/>
      <w:b/>
      <w:lang w:val="en-US"/>
    </w:rPr>
  </w:style>
  <w:style w:type="character" w:customStyle="1" w:styleId="69">
    <w:name w:val="TAH Car"/>
    <w:basedOn w:val="19"/>
    <w:link w:val="66"/>
    <w:qFormat/>
    <w:uiPriority w:val="0"/>
    <w:rPr>
      <w:rFonts w:hint="default" w:ascii="Arial" w:hAnsi="Arial" w:eastAsia="Times New Roman" w:cs="Arial"/>
      <w:b/>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DF3159A7-E9D0-414E-8F00-668C05F5E065}">
  <ds:schemaRefs/>
</ds:datastoreItem>
</file>

<file path=docProps/app.xml><?xml version="1.0" encoding="utf-8"?>
<Properties xmlns="http://schemas.openxmlformats.org/officeDocument/2006/extended-properties" xmlns:vt="http://schemas.openxmlformats.org/officeDocument/2006/docPropsVTypes">
  <Template>Normal</Template>
  <Pages>2</Pages>
  <Words>564</Words>
  <Characters>3215</Characters>
  <Lines>26</Lines>
  <Paragraphs>7</Paragraphs>
  <TotalTime>1</TotalTime>
  <ScaleCrop>false</ScaleCrop>
  <LinksUpToDate>false</LinksUpToDate>
  <CharactersWithSpaces>3772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2020-05-15T12:44:14Z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